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EB3" w:rsidRPr="000F18DD" w:rsidRDefault="004A545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F18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Создание и развитие студенческого конструкторского бюро «Элтран» </w:t>
      </w:r>
    </w:p>
    <w:p w:rsidR="0085629F" w:rsidRDefault="0085629F" w:rsidP="008562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Студенческое конструкторское бюро (СКБ) «Элтран» создано в Пензенском государственном университете в сентябре 2021 года как молодежная ступень научно-педагогической школы «Информационно-измерительные средства и системы»</w:t>
      </w:r>
      <w:r w:rsidR="00B31D18" w:rsidRPr="00B31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(научный руководитель:</w:t>
      </w:r>
      <w:proofErr w:type="gramEnd"/>
      <w:r w:rsidR="00B31D18" w:rsidRPr="00B31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31D18" w:rsidRPr="00B31D18">
        <w:rPr>
          <w:rFonts w:ascii="Times New Roman" w:eastAsia="Times New Roman" w:hAnsi="Times New Roman" w:cs="Times New Roman"/>
          <w:color w:val="000000"/>
          <w:sz w:val="24"/>
          <w:szCs w:val="24"/>
        </w:rPr>
        <w:t>Е.А. Печерская, д.т.н.,</w:t>
      </w:r>
      <w:r w:rsidR="00B31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профессор, зав. кафедрой «Информационно-измерительная техника и метрология»)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85629F" w:rsidRPr="0085629F" w:rsidRDefault="0085629F" w:rsidP="0085629F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СКБ «Элтран» занимается исследованиями и разработками в рамках следующих</w:t>
      </w:r>
      <w:r w:rsidRPr="008562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научных направлений: </w:t>
      </w:r>
    </w:p>
    <w:p w:rsidR="0085629F" w:rsidRPr="007508B1" w:rsidRDefault="0085629F" w:rsidP="0085629F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– цифровые двойники технологических процессов;</w:t>
      </w:r>
    </w:p>
    <w:p w:rsidR="0085629F" w:rsidRPr="007508B1" w:rsidRDefault="0085629F" w:rsidP="0085629F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– информационно-измерительные, интеллектуальные и управляющие системы;</w:t>
      </w:r>
    </w:p>
    <w:p w:rsidR="0085629F" w:rsidRPr="007508B1" w:rsidRDefault="0085629F" w:rsidP="0085629F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 методы, средства измерений и контроля параметров материалов функциональной электроники и 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наноэлектроники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5629F" w:rsidRPr="007508B1" w:rsidRDefault="0085629F" w:rsidP="0085629F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– приборы и интеллектуальные системы медицинского назначения.</w:t>
      </w:r>
    </w:p>
    <w:p w:rsidR="0085629F" w:rsidRPr="0085629F" w:rsidRDefault="0085629F" w:rsidP="0085629F">
      <w:pPr>
        <w:shd w:val="clear" w:color="auto" w:fill="FFFFFF"/>
        <w:ind w:firstLine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629F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Научные направления СКБ «Элтран»  охватывают приоритет научно-технологического развития Российской Федерации «переход к передовым цифровым, интеллектуальным производственным технологиям, роботизированным системам, новым материалам и способам конструирования, создание систем обработки больших объемов данных, машинного обучения и искусственного интеллекта».</w:t>
      </w:r>
    </w:p>
    <w:p w:rsidR="004A5450" w:rsidRDefault="002448E6" w:rsidP="008562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момента основания ежегодно десятки обучающихся </w:t>
      </w:r>
      <w:r w:rsidR="00B03C94">
        <w:rPr>
          <w:rFonts w:ascii="Times New Roman" w:eastAsia="Times New Roman" w:hAnsi="Times New Roman" w:cs="Times New Roman"/>
          <w:color w:val="000000"/>
          <w:sz w:val="24"/>
          <w:szCs w:val="24"/>
        </w:rPr>
        <w:t>СКБ «Элтран»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становятся победителями и призерами международных,</w:t>
      </w:r>
      <w:r w:rsidR="00C125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Всероссийских, региональных научных конкурсов. СКБ «Элтран»  удостоено</w:t>
      </w:r>
      <w:r w:rsidR="008562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места</w:t>
      </w:r>
      <w:r w:rsidR="00B03C94"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Всероссийском конкурсе кружков (</w:t>
      </w:r>
      <w:proofErr w:type="spellStart"/>
      <w:r w:rsidR="00B03C94"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межвозрастная</w:t>
      </w:r>
      <w:proofErr w:type="spellEnd"/>
      <w:r w:rsidR="00B03C94"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лига трека «Команды технологических энтузиастов», приказ № 8 от 1.12.2022 г)</w:t>
      </w:r>
      <w:r w:rsidR="00C125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Опыт выполнения проектов с участием членов СКБ «Элтран».</w:t>
      </w:r>
    </w:p>
    <w:p w:rsidR="004A5450" w:rsidRPr="00D06500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065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Бюджетное финансирование: 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«Фундаментальные основы цифрового двойника технологического процесса формирования оксидных покрытий с заданными свойствами методом микродугового оксидирования» (2023 – 2025, государственное задание вузу.</w:t>
      </w:r>
      <w:proofErr w:type="gram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Регистрационный номер: 225011600763-9);</w:t>
      </w:r>
      <w:proofErr w:type="gramEnd"/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проект «Синтез и исследование перспективных 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наноматериалов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покрытий и устройств электроники» (2024 – 2026, государственное задание вузу, 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. №: 124041700069-0).</w:t>
      </w:r>
    </w:p>
    <w:p w:rsidR="004A5450" w:rsidRPr="00D06500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0650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Внебюджетное финансирование: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«Фундаментальные основы цифрового двойника автоматизированного процесса синтеза функциональных прозрачных проводящих покрытий с заданными свойствами методом 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спрей-пиролиза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грант РНФ (2023 – 2024 гг., № 23-29-00343, 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. №: 224020400199-1);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 проект «Разработка схемотехнических решений измерительного блока аппаратной части программно-аппаратного комплекса для исследования активных диэлектриков» (хоздоговор № 04/23 от 28.02.2023, ПГУ, ООО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Брейн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», 2023 г.);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проект «Разработка автоматизированной системы измерения биоимпеданса для диагностики состава тела человека» (хоздоговор № ИС2023/38 от 13.12.2023, ПГУ, АНО </w:t>
      </w: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«Институт регионального развития», ООО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Мирида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», 2023 г., регистрационный номер: 224050200032-0);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«Разработка схемотехнических решений аппаратной части прототипа автоматизированного цифрового портативного 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биоимпедансного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анализатора» (хоздоговор № 05/23 от 01.03.2023, ПГУ, ООО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Комстенд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», 2023 г.);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«Разработка измерительного преобразователя для исследования гальванического покрытия» (хоздоговор № 25/23 от 19.10.2023, ПГУ, ООО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Комстенд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»,  2023 г.);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"Разработка программно-аппаратного комплекса и технологии синтеза 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биосовместимых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 оксидных покрытий методом микродугового оксидирования» (этапы 1 и 2, хоздоговоры ПГУ, АНО «Институт регионального развития», ООО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Комстенд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», № ИС/4 от 30.11.2022, № ИС2023/8  от 13.12.2023, 2022 – 2023 гг., регистрационный номер: 224050200035-1);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«Разработка формирователя полигармонического сигнала для исследования 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пьезокерамики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 (2022 г., хоздоговор № 11/22 НИР от 03.03.2022, ООО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Комстенд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», 2022 г.);</w:t>
      </w:r>
    </w:p>
    <w:p w:rsidR="004A5450" w:rsidRPr="007508B1" w:rsidRDefault="004A5450" w:rsidP="004A5450">
      <w:pPr>
        <w:ind w:firstLine="3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проект «</w:t>
      </w:r>
      <w:hyperlink r:id="rId4" w:history="1">
        <w:r w:rsidRPr="00AD0EC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Разработка измерительного преобразователя для контроля температуры в процессе </w:t>
        </w:r>
        <w:proofErr w:type="spellStart"/>
        <w:r w:rsidRPr="00AD0EC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спрей-пиролиза</w:t>
        </w:r>
        <w:proofErr w:type="spellEnd"/>
      </w:hyperlink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2024, хоздоговор 29/24 НИР от 20.09.2024 между ПГУ </w:t>
      </w:r>
      <w:proofErr w:type="gram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и ООО</w:t>
      </w:r>
      <w:proofErr w:type="gram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Комстенд</w:t>
      </w:r>
      <w:proofErr w:type="spellEnd"/>
      <w:r w:rsidRPr="007508B1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C125C7" w:rsidRDefault="00C125C7" w:rsidP="00C125C7">
      <w:pPr>
        <w:ind w:firstLine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9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апреле 2025 г. Пензенский государственный университет стал победителем конкурсного отбора студенческих конструкторских бюро по направлению «Создание и развитие студенческого конструкторского бюро». На реализацию проекта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развитию СКБ «Элтран» </w:t>
      </w:r>
      <w:r w:rsidRPr="003C29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получит 5 </w:t>
      </w:r>
      <w:proofErr w:type="spellStart"/>
      <w:proofErr w:type="gramStart"/>
      <w:r w:rsidRPr="003C29A0">
        <w:rPr>
          <w:rFonts w:ascii="Times New Roman" w:eastAsia="Times New Roman" w:hAnsi="Times New Roman" w:cs="Times New Roman"/>
          <w:color w:val="000000"/>
          <w:sz w:val="24"/>
          <w:szCs w:val="24"/>
        </w:rPr>
        <w:t>млн</w:t>
      </w:r>
      <w:proofErr w:type="spellEnd"/>
      <w:proofErr w:type="gramEnd"/>
      <w:r w:rsidRPr="003C29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</w:t>
      </w:r>
      <w:r w:rsidR="00AD0E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закупку оборудования и оплату работы 6 студентов на протяжении 4 мес.)</w:t>
      </w:r>
      <w:r w:rsidRPr="003C29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Соглашение о предоставлении субсидии - в процессе заключения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России. </w:t>
      </w:r>
      <w:r w:rsidR="00AD0ECF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Количественные показатели СКБ «Элтран» представлены в табл. 1.</w:t>
      </w:r>
    </w:p>
    <w:p w:rsidR="00A027A8" w:rsidRPr="007508B1" w:rsidRDefault="00A027A8" w:rsidP="00A027A8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</w:rPr>
      </w:pPr>
      <w:r w:rsidRPr="007508B1">
        <w:rPr>
          <w:rFonts w:ascii="Times New Roman" w:eastAsia="Times New Roman" w:hAnsi="Times New Roman" w:cs="Times New Roman"/>
        </w:rPr>
        <w:t xml:space="preserve">Таблица  </w:t>
      </w:r>
      <w:r w:rsidR="00AD0ECF">
        <w:rPr>
          <w:rFonts w:ascii="Times New Roman" w:eastAsia="Times New Roman" w:hAnsi="Times New Roman" w:cs="Times New Roman"/>
        </w:rPr>
        <w:t xml:space="preserve">1 </w:t>
      </w:r>
      <w:r w:rsidRPr="007508B1">
        <w:rPr>
          <w:rFonts w:ascii="Times New Roman" w:eastAsia="Times New Roman" w:hAnsi="Times New Roman" w:cs="Times New Roman"/>
        </w:rPr>
        <w:t>– Стратегия развития</w:t>
      </w:r>
      <w:r>
        <w:rPr>
          <w:rFonts w:ascii="Times New Roman" w:eastAsia="Times New Roman" w:hAnsi="Times New Roman" w:cs="Times New Roman"/>
        </w:rPr>
        <w:t xml:space="preserve"> СКБ «Элтран»</w:t>
      </w:r>
    </w:p>
    <w:tbl>
      <w:tblPr>
        <w:tblStyle w:val="a5"/>
        <w:tblW w:w="0" w:type="auto"/>
        <w:tblLook w:val="04A0"/>
      </w:tblPr>
      <w:tblGrid>
        <w:gridCol w:w="5807"/>
        <w:gridCol w:w="1276"/>
        <w:gridCol w:w="1134"/>
        <w:gridCol w:w="1127"/>
      </w:tblGrid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08B1">
              <w:rPr>
                <w:rFonts w:ascii="Times New Roman" w:eastAsia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08B1">
              <w:rPr>
                <w:rFonts w:ascii="Times New Roman" w:eastAsia="Times New Roman" w:hAnsi="Times New Roman" w:cs="Times New Roman"/>
                <w:b/>
                <w:bCs/>
              </w:rPr>
              <w:t>2025 г.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08B1">
              <w:rPr>
                <w:rFonts w:ascii="Times New Roman" w:eastAsia="Times New Roman" w:hAnsi="Times New Roman" w:cs="Times New Roman"/>
                <w:b/>
                <w:bCs/>
              </w:rPr>
              <w:t>2026 г.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08B1">
              <w:rPr>
                <w:rFonts w:ascii="Times New Roman" w:eastAsia="Times New Roman" w:hAnsi="Times New Roman" w:cs="Times New Roman"/>
                <w:b/>
                <w:bCs/>
              </w:rPr>
              <w:t>2027 г.</w:t>
            </w:r>
          </w:p>
        </w:tc>
      </w:tr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 xml:space="preserve">Плановое количество членов СКБ, </w:t>
            </w:r>
            <w:proofErr w:type="gramStart"/>
            <w:r w:rsidRPr="007508B1">
              <w:rPr>
                <w:rFonts w:ascii="Times New Roman" w:eastAsia="Times New Roman" w:hAnsi="Times New Roman" w:cs="Times New Roman"/>
              </w:rPr>
              <w:t>созданного</w:t>
            </w:r>
            <w:proofErr w:type="gramEnd"/>
            <w:r w:rsidRPr="007508B1">
              <w:rPr>
                <w:rFonts w:ascii="Times New Roman" w:eastAsia="Times New Roman" w:hAnsi="Times New Roman" w:cs="Times New Roman"/>
              </w:rPr>
              <w:t xml:space="preserve"> на базе образовательной организации, которые регулярно принимают участие в научно-исследовательской </w:t>
            </w:r>
            <w:r w:rsidRPr="007508B1">
              <w:rPr>
                <w:rFonts w:ascii="Times New Roman" w:eastAsia="Times New Roman" w:hAnsi="Times New Roman" w:cs="Times New Roman"/>
              </w:rPr>
              <w:br/>
              <w:t>и опытно-конструкторской деятельности СКБ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Плановое количество студентов, прошедших практико-ориентированные мероприятия на базе СКБ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380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450</w:t>
            </w:r>
          </w:p>
        </w:tc>
      </w:tr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 xml:space="preserve">Плановое количество школьников, прошедших </w:t>
            </w:r>
            <w:proofErr w:type="spellStart"/>
            <w:r w:rsidRPr="007508B1">
              <w:rPr>
                <w:rFonts w:ascii="Times New Roman" w:eastAsia="Times New Roman" w:hAnsi="Times New Roman" w:cs="Times New Roman"/>
              </w:rPr>
              <w:t>профориентационные</w:t>
            </w:r>
            <w:proofErr w:type="spellEnd"/>
            <w:r w:rsidRPr="007508B1">
              <w:rPr>
                <w:rFonts w:ascii="Times New Roman" w:eastAsia="Times New Roman" w:hAnsi="Times New Roman" w:cs="Times New Roman"/>
              </w:rPr>
              <w:t xml:space="preserve"> мероприятия на базе СКБ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250</w:t>
            </w:r>
          </w:p>
        </w:tc>
      </w:tr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Плановое количество студентов, трудоустроенных в СКБ на срок не менее трех месяцев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Плановый размер внебюджетного финансирования, привлеченного СКБ (в т.ч. на проведение научно-исследовательских и опытно-конструкторских работ)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 млн. руб.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1,2 млн. руб.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1,5 млн. руб.</w:t>
            </w:r>
          </w:p>
        </w:tc>
      </w:tr>
      <w:tr w:rsidR="00A027A8" w:rsidRPr="007508B1" w:rsidTr="00BB0BEE">
        <w:tc>
          <w:tcPr>
            <w:tcW w:w="5807" w:type="dxa"/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 xml:space="preserve">Количество договоров, заключенных СКБ </w:t>
            </w:r>
            <w:r w:rsidRPr="007508B1">
              <w:rPr>
                <w:rFonts w:ascii="Times New Roman" w:eastAsia="Times New Roman" w:hAnsi="Times New Roman" w:cs="Times New Roman"/>
              </w:rPr>
              <w:br/>
              <w:t>с индустриальными партнерами</w:t>
            </w:r>
          </w:p>
        </w:tc>
        <w:tc>
          <w:tcPr>
            <w:tcW w:w="1276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27" w:type="dxa"/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A027A8" w:rsidRPr="007508B1" w:rsidTr="00BB0BEE">
        <w:tc>
          <w:tcPr>
            <w:tcW w:w="5807" w:type="dxa"/>
            <w:tcBorders>
              <w:bottom w:val="nil"/>
            </w:tcBorders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 xml:space="preserve">Ожидаемый результат работы за год </w:t>
            </w:r>
          </w:p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 xml:space="preserve"> Количество справок о внедрении результатов научно-исследовательской и опытно-конструкторской работы, проведенной на базе СКБ, подписанных индустриальными партнерами</w:t>
            </w:r>
          </w:p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3</w:t>
            </w: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27" w:type="dxa"/>
            <w:tcBorders>
              <w:bottom w:val="nil"/>
            </w:tcBorders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027A8" w:rsidTr="00BB0BEE">
        <w:tc>
          <w:tcPr>
            <w:tcW w:w="5807" w:type="dxa"/>
            <w:tcBorders>
              <w:top w:val="nil"/>
            </w:tcBorders>
          </w:tcPr>
          <w:p w:rsidR="00A027A8" w:rsidRPr="007508B1" w:rsidRDefault="00A027A8" w:rsidP="00BB0BEE">
            <w:pPr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Количество новых открытых направлений работы СКБ</w:t>
            </w:r>
          </w:p>
        </w:tc>
        <w:tc>
          <w:tcPr>
            <w:tcW w:w="1276" w:type="dxa"/>
            <w:tcBorders>
              <w:top w:val="nil"/>
            </w:tcBorders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A027A8" w:rsidRPr="007508B1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27" w:type="dxa"/>
            <w:tcBorders>
              <w:top w:val="nil"/>
            </w:tcBorders>
          </w:tcPr>
          <w:p w:rsidR="00A027A8" w:rsidRDefault="00A027A8" w:rsidP="00BB0B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08B1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4A5450" w:rsidRDefault="004A5450" w:rsidP="00AD0ECF"/>
    <w:p w:rsidR="00562729" w:rsidRDefault="00562729" w:rsidP="00AD0ECF"/>
    <w:sectPr w:rsidR="00562729" w:rsidSect="00F56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4A5450"/>
    <w:rsid w:val="000F18DD"/>
    <w:rsid w:val="002448E6"/>
    <w:rsid w:val="00326EF7"/>
    <w:rsid w:val="00351E5C"/>
    <w:rsid w:val="003C29A0"/>
    <w:rsid w:val="004A5450"/>
    <w:rsid w:val="00562729"/>
    <w:rsid w:val="0085629F"/>
    <w:rsid w:val="00A027A8"/>
    <w:rsid w:val="00AD0ECF"/>
    <w:rsid w:val="00B03C94"/>
    <w:rsid w:val="00B31D18"/>
    <w:rsid w:val="00B50326"/>
    <w:rsid w:val="00C125C7"/>
    <w:rsid w:val="00D57D8C"/>
    <w:rsid w:val="00DE09DE"/>
    <w:rsid w:val="00F56C56"/>
    <w:rsid w:val="00FE5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450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3C29A0"/>
    <w:rPr>
      <w:b/>
      <w:bCs/>
    </w:rPr>
  </w:style>
  <w:style w:type="table" w:styleId="a5">
    <w:name w:val="Table Grid"/>
    <w:basedOn w:val="a1"/>
    <w:uiPriority w:val="39"/>
    <w:rsid w:val="00A027A8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ib.pnzgu.ru/nir/1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14</cp:revision>
  <dcterms:created xsi:type="dcterms:W3CDTF">2025-06-09T14:01:00Z</dcterms:created>
  <dcterms:modified xsi:type="dcterms:W3CDTF">2025-06-09T15:02:00Z</dcterms:modified>
</cp:coreProperties>
</file>